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38A" w:rsidRDefault="0029338A" w:rsidP="0029338A">
      <w:pPr>
        <w:jc w:val="center"/>
        <w:rPr>
          <w:rFonts w:ascii="Segoe UI" w:hAnsi="Segoe UI" w:cs="Segoe UI"/>
          <w:b/>
        </w:rPr>
      </w:pPr>
      <w:r w:rsidRPr="0029338A">
        <w:rPr>
          <w:rFonts w:ascii="Segoe UI" w:hAnsi="Segoe UI" w:cs="Segoe UI"/>
          <w:b/>
        </w:rPr>
        <w:t xml:space="preserve">Vereinbarung über die Nutzung </w:t>
      </w:r>
      <w:r w:rsidR="009E73A7">
        <w:rPr>
          <w:rFonts w:ascii="Segoe UI" w:hAnsi="Segoe UI" w:cs="Segoe UI"/>
          <w:b/>
        </w:rPr>
        <w:t>von DATEV Unternehmen online</w:t>
      </w:r>
      <w:r w:rsidRPr="0029338A">
        <w:rPr>
          <w:rFonts w:ascii="Segoe UI" w:hAnsi="Segoe UI" w:cs="Segoe UI"/>
          <w:b/>
        </w:rPr>
        <w:t xml:space="preserve"> </w:t>
      </w:r>
      <w:r>
        <w:rPr>
          <w:rFonts w:ascii="Segoe UI" w:hAnsi="Segoe UI" w:cs="Segoe UI"/>
          <w:b/>
        </w:rPr>
        <w:t>zwischen</w:t>
      </w:r>
    </w:p>
    <w:p w:rsidR="00EE6041" w:rsidRDefault="008D340F" w:rsidP="0029338A">
      <w:pPr>
        <w:jc w:val="center"/>
        <w:rPr>
          <w:rFonts w:ascii="Segoe UI" w:hAnsi="Segoe UI" w:cs="Segoe UI"/>
        </w:rPr>
      </w:pPr>
      <w:r>
        <w:rPr>
          <w:rFonts w:ascii="Segoe UI" w:hAnsi="Segoe UI" w:cs="Segoe UI"/>
        </w:rPr>
        <w:t>_________________</w:t>
      </w:r>
    </w:p>
    <w:p w:rsidR="008D340F" w:rsidRDefault="008D340F" w:rsidP="0029338A">
      <w:pPr>
        <w:jc w:val="center"/>
        <w:rPr>
          <w:rFonts w:ascii="Segoe UI" w:hAnsi="Segoe UI" w:cs="Segoe UI"/>
        </w:rPr>
      </w:pPr>
      <w:r>
        <w:rPr>
          <w:rFonts w:ascii="Segoe UI" w:hAnsi="Segoe UI" w:cs="Segoe UI"/>
        </w:rPr>
        <w:t>______________________________</w:t>
      </w:r>
      <w:bookmarkStart w:id="0" w:name="_GoBack"/>
      <w:bookmarkEnd w:id="0"/>
    </w:p>
    <w:p w:rsidR="0029338A" w:rsidRPr="0029338A" w:rsidRDefault="0029338A" w:rsidP="0029338A">
      <w:pPr>
        <w:jc w:val="center"/>
        <w:rPr>
          <w:rFonts w:ascii="Segoe UI" w:hAnsi="Segoe UI" w:cs="Segoe UI"/>
          <w:b/>
        </w:rPr>
      </w:pPr>
      <w:r w:rsidRPr="0029338A">
        <w:rPr>
          <w:rFonts w:ascii="Segoe UI" w:hAnsi="Segoe UI" w:cs="Segoe UI"/>
          <w:b/>
        </w:rPr>
        <w:t>-</w:t>
      </w:r>
      <w:r>
        <w:rPr>
          <w:rFonts w:ascii="Segoe UI" w:hAnsi="Segoe UI" w:cs="Segoe UI"/>
          <w:b/>
        </w:rPr>
        <w:t xml:space="preserve"> </w:t>
      </w:r>
      <w:r w:rsidRPr="0029338A">
        <w:rPr>
          <w:rFonts w:ascii="Segoe UI" w:hAnsi="Segoe UI" w:cs="Segoe UI"/>
          <w:b/>
        </w:rPr>
        <w:t>nachstehend „Mandant“ genannt -</w:t>
      </w:r>
    </w:p>
    <w:p w:rsidR="0029338A" w:rsidRDefault="0029338A" w:rsidP="0029338A">
      <w:pPr>
        <w:jc w:val="center"/>
        <w:rPr>
          <w:rFonts w:ascii="Segoe UI" w:hAnsi="Segoe UI" w:cs="Segoe UI"/>
          <w:b/>
        </w:rPr>
      </w:pPr>
      <w:r>
        <w:rPr>
          <w:rFonts w:ascii="Segoe UI" w:hAnsi="Segoe UI" w:cs="Segoe UI"/>
          <w:b/>
        </w:rPr>
        <w:t>und</w:t>
      </w:r>
    </w:p>
    <w:p w:rsidR="0029338A" w:rsidRPr="0029338A" w:rsidRDefault="00AF38C6" w:rsidP="0029338A">
      <w:pPr>
        <w:spacing w:after="0"/>
        <w:jc w:val="center"/>
        <w:rPr>
          <w:rFonts w:ascii="Segoe UI" w:hAnsi="Segoe UI" w:cs="Segoe UI"/>
        </w:rPr>
      </w:pPr>
      <w:r>
        <w:rPr>
          <w:rFonts w:ascii="Segoe UI" w:hAnsi="Segoe UI" w:cs="Segoe UI"/>
        </w:rPr>
        <w:t>Müller Blum</w:t>
      </w:r>
      <w:r w:rsidR="0029338A" w:rsidRPr="0029338A">
        <w:rPr>
          <w:rFonts w:ascii="Segoe UI" w:hAnsi="Segoe UI" w:cs="Segoe UI"/>
        </w:rPr>
        <w:t xml:space="preserve"> Steuerberatungsgesellschaft mbH</w:t>
      </w:r>
    </w:p>
    <w:p w:rsidR="0029338A" w:rsidRDefault="0029338A" w:rsidP="0029338A">
      <w:pPr>
        <w:spacing w:after="0"/>
        <w:jc w:val="center"/>
        <w:rPr>
          <w:rFonts w:ascii="Segoe UI" w:hAnsi="Segoe UI" w:cs="Segoe UI"/>
        </w:rPr>
      </w:pPr>
      <w:r w:rsidRPr="0029338A">
        <w:rPr>
          <w:rFonts w:ascii="Segoe UI" w:hAnsi="Segoe UI" w:cs="Segoe UI"/>
        </w:rPr>
        <w:t>Schwabacher Straße 110</w:t>
      </w:r>
      <w:r w:rsidR="007212C0">
        <w:rPr>
          <w:rFonts w:ascii="Segoe UI" w:hAnsi="Segoe UI" w:cs="Segoe UI"/>
        </w:rPr>
        <w:t>,</w:t>
      </w:r>
      <w:r w:rsidRPr="0029338A">
        <w:rPr>
          <w:rFonts w:ascii="Segoe UI" w:hAnsi="Segoe UI" w:cs="Segoe UI"/>
        </w:rPr>
        <w:t xml:space="preserve"> 90763 Fürth</w:t>
      </w:r>
    </w:p>
    <w:p w:rsidR="0029338A" w:rsidRPr="0029338A" w:rsidRDefault="0029338A" w:rsidP="0029338A">
      <w:pPr>
        <w:jc w:val="center"/>
        <w:rPr>
          <w:rFonts w:ascii="Segoe UI" w:hAnsi="Segoe UI" w:cs="Segoe UI"/>
          <w:b/>
        </w:rPr>
      </w:pPr>
      <w:r w:rsidRPr="0029338A">
        <w:rPr>
          <w:rFonts w:ascii="Segoe UI" w:hAnsi="Segoe UI" w:cs="Segoe UI"/>
          <w:b/>
        </w:rPr>
        <w:t>-</w:t>
      </w:r>
      <w:r>
        <w:rPr>
          <w:rFonts w:ascii="Segoe UI" w:hAnsi="Segoe UI" w:cs="Segoe UI"/>
          <w:b/>
        </w:rPr>
        <w:t xml:space="preserve"> </w:t>
      </w:r>
      <w:r w:rsidRPr="0029338A">
        <w:rPr>
          <w:rFonts w:ascii="Segoe UI" w:hAnsi="Segoe UI" w:cs="Segoe UI"/>
          <w:b/>
        </w:rPr>
        <w:t>nachstehend „</w:t>
      </w:r>
      <w:r>
        <w:rPr>
          <w:rFonts w:ascii="Segoe UI" w:hAnsi="Segoe UI" w:cs="Segoe UI"/>
          <w:b/>
        </w:rPr>
        <w:t>Steuerberater</w:t>
      </w:r>
      <w:r w:rsidRPr="0029338A">
        <w:rPr>
          <w:rFonts w:ascii="Segoe UI" w:hAnsi="Segoe UI" w:cs="Segoe UI"/>
          <w:b/>
        </w:rPr>
        <w:t>“ genannt -</w:t>
      </w:r>
    </w:p>
    <w:p w:rsidR="0029338A" w:rsidRPr="0029338A" w:rsidRDefault="0029338A" w:rsidP="0029338A">
      <w:pPr>
        <w:spacing w:after="0"/>
        <w:jc w:val="center"/>
        <w:rPr>
          <w:rFonts w:ascii="Segoe UI" w:hAnsi="Segoe UI" w:cs="Segoe UI"/>
        </w:rPr>
      </w:pPr>
    </w:p>
    <w:p w:rsidR="0029338A" w:rsidRPr="007212C0" w:rsidRDefault="0029338A" w:rsidP="0029338A">
      <w:pPr>
        <w:pStyle w:val="Listenabsatz"/>
        <w:numPr>
          <w:ilvl w:val="0"/>
          <w:numId w:val="4"/>
        </w:numPr>
        <w:spacing w:after="120"/>
        <w:ind w:left="357"/>
        <w:contextualSpacing w:val="0"/>
        <w:rPr>
          <w:rFonts w:ascii="Segoe UI" w:hAnsi="Segoe UI" w:cs="Segoe UI"/>
          <w:b/>
        </w:rPr>
      </w:pPr>
      <w:r w:rsidRPr="007212C0">
        <w:rPr>
          <w:rFonts w:ascii="Segoe UI" w:hAnsi="Segoe UI" w:cs="Segoe UI"/>
          <w:b/>
        </w:rPr>
        <w:t>Präambel</w:t>
      </w:r>
    </w:p>
    <w:p w:rsidR="0029338A" w:rsidRDefault="0029338A" w:rsidP="0029338A">
      <w:pPr>
        <w:spacing w:after="120"/>
        <w:ind w:left="357"/>
        <w:jc w:val="both"/>
        <w:rPr>
          <w:rFonts w:ascii="Segoe UI" w:hAnsi="Segoe UI" w:cs="Segoe UI"/>
        </w:rPr>
      </w:pPr>
      <w:r>
        <w:rPr>
          <w:rFonts w:ascii="Segoe UI" w:hAnsi="Segoe UI" w:cs="Segoe UI"/>
        </w:rPr>
        <w:t>Mandant und Steuerberater haben einen Steuerberaterrahmenvertrag und eine Vergütungsvereinbarung getroffen, nach der</w:t>
      </w:r>
      <w:r w:rsidR="007212C0">
        <w:rPr>
          <w:rFonts w:ascii="Segoe UI" w:hAnsi="Segoe UI" w:cs="Segoe UI"/>
        </w:rPr>
        <w:t>,</w:t>
      </w:r>
      <w:r>
        <w:rPr>
          <w:rFonts w:ascii="Segoe UI" w:hAnsi="Segoe UI" w:cs="Segoe UI"/>
        </w:rPr>
        <w:t xml:space="preserve"> der Steuerberater unter anderem beauftragt wird, die </w:t>
      </w:r>
      <w:r w:rsidRPr="0029338A">
        <w:rPr>
          <w:rFonts w:ascii="Segoe UI" w:hAnsi="Segoe UI" w:cs="Segoe UI"/>
        </w:rPr>
        <w:t>laufende Finanzbuchhaltung</w:t>
      </w:r>
      <w:r>
        <w:rPr>
          <w:rFonts w:ascii="Segoe UI" w:hAnsi="Segoe UI" w:cs="Segoe UI"/>
        </w:rPr>
        <w:t xml:space="preserve"> für den Mandanten zu erstellen. </w:t>
      </w:r>
    </w:p>
    <w:p w:rsidR="0029338A" w:rsidRDefault="0029338A" w:rsidP="0029338A">
      <w:pPr>
        <w:spacing w:after="120"/>
        <w:ind w:left="357"/>
        <w:jc w:val="both"/>
        <w:rPr>
          <w:rFonts w:ascii="Segoe UI" w:hAnsi="Segoe UI" w:cs="Segoe UI"/>
        </w:rPr>
      </w:pPr>
      <w:r>
        <w:rPr>
          <w:rFonts w:ascii="Segoe UI" w:hAnsi="Segoe UI" w:cs="Segoe UI"/>
        </w:rPr>
        <w:t xml:space="preserve">Der Übermittlung von Buchhaltungsdaten und Auswertungen erfolgte bislang </w:t>
      </w:r>
      <w:r w:rsidR="009E73A7">
        <w:rPr>
          <w:rFonts w:ascii="Segoe UI" w:hAnsi="Segoe UI" w:cs="Segoe UI"/>
        </w:rPr>
        <w:t>über</w:t>
      </w:r>
      <w:r>
        <w:rPr>
          <w:rFonts w:ascii="Segoe UI" w:hAnsi="Segoe UI" w:cs="Segoe UI"/>
        </w:rPr>
        <w:t xml:space="preserve"> die </w:t>
      </w:r>
      <w:proofErr w:type="spellStart"/>
      <w:r>
        <w:rPr>
          <w:rFonts w:ascii="Segoe UI" w:hAnsi="Segoe UI" w:cs="Segoe UI"/>
        </w:rPr>
        <w:t>Simba</w:t>
      </w:r>
      <w:proofErr w:type="spellEnd"/>
      <w:r>
        <w:rPr>
          <w:rFonts w:ascii="Segoe UI" w:hAnsi="Segoe UI" w:cs="Segoe UI"/>
        </w:rPr>
        <w:t xml:space="preserve"> Datendrehscheibe</w:t>
      </w:r>
      <w:r w:rsidR="009E73A7">
        <w:rPr>
          <w:rFonts w:ascii="Segoe UI" w:hAnsi="Segoe UI" w:cs="Segoe UI"/>
        </w:rPr>
        <w:t>. Diese wird nun durch</w:t>
      </w:r>
      <w:r w:rsidR="009E73A7" w:rsidRPr="009E73A7">
        <w:rPr>
          <w:rFonts w:ascii="Segoe UI" w:hAnsi="Segoe UI" w:cs="Segoe UI"/>
        </w:rPr>
        <w:t xml:space="preserve"> </w:t>
      </w:r>
      <w:r w:rsidR="009E73A7">
        <w:rPr>
          <w:rFonts w:ascii="Segoe UI" w:hAnsi="Segoe UI" w:cs="Segoe UI"/>
        </w:rPr>
        <w:t>DATEV Unternehmen online</w:t>
      </w:r>
      <w:r>
        <w:rPr>
          <w:rFonts w:ascii="Segoe UI" w:hAnsi="Segoe UI" w:cs="Segoe UI"/>
        </w:rPr>
        <w:t xml:space="preserve"> ersetzt. </w:t>
      </w:r>
    </w:p>
    <w:p w:rsidR="0029338A" w:rsidRPr="007212C0" w:rsidRDefault="0029338A" w:rsidP="0029338A">
      <w:pPr>
        <w:pStyle w:val="Listenabsatz"/>
        <w:numPr>
          <w:ilvl w:val="0"/>
          <w:numId w:val="4"/>
        </w:numPr>
        <w:spacing w:after="120"/>
        <w:ind w:left="357"/>
        <w:contextualSpacing w:val="0"/>
        <w:rPr>
          <w:rFonts w:ascii="Segoe UI" w:hAnsi="Segoe UI" w:cs="Segoe UI"/>
          <w:b/>
        </w:rPr>
      </w:pPr>
      <w:r w:rsidRPr="007212C0">
        <w:rPr>
          <w:rFonts w:ascii="Segoe UI" w:hAnsi="Segoe UI" w:cs="Segoe UI"/>
          <w:b/>
        </w:rPr>
        <w:t xml:space="preserve">Einwilligung in die Nutzung </w:t>
      </w:r>
      <w:r w:rsidR="009E73A7">
        <w:rPr>
          <w:rFonts w:ascii="Segoe UI" w:hAnsi="Segoe UI" w:cs="Segoe UI"/>
          <w:b/>
        </w:rPr>
        <w:t>von DATEV Unternehmen online</w:t>
      </w:r>
    </w:p>
    <w:p w:rsidR="0029338A" w:rsidRDefault="0029338A" w:rsidP="0029338A">
      <w:pPr>
        <w:pStyle w:val="Listenabsatz"/>
        <w:spacing w:after="120"/>
        <w:ind w:left="357"/>
        <w:contextualSpacing w:val="0"/>
        <w:jc w:val="both"/>
        <w:rPr>
          <w:rFonts w:ascii="Segoe UI" w:hAnsi="Segoe UI" w:cs="Segoe UI"/>
        </w:rPr>
      </w:pPr>
      <w:r>
        <w:rPr>
          <w:rFonts w:ascii="Segoe UI" w:hAnsi="Segoe UI" w:cs="Segoe UI"/>
        </w:rPr>
        <w:t xml:space="preserve">Der Mandant willigt ein, </w:t>
      </w:r>
      <w:r w:rsidR="00C92291">
        <w:rPr>
          <w:rFonts w:ascii="Segoe UI" w:hAnsi="Segoe UI" w:cs="Segoe UI"/>
        </w:rPr>
        <w:t>sämtliche</w:t>
      </w:r>
      <w:r>
        <w:rPr>
          <w:rFonts w:ascii="Segoe UI" w:hAnsi="Segoe UI" w:cs="Segoe UI"/>
        </w:rPr>
        <w:t xml:space="preserve"> </w:t>
      </w:r>
      <w:r w:rsidR="00C92291">
        <w:rPr>
          <w:rFonts w:ascii="Segoe UI" w:hAnsi="Segoe UI" w:cs="Segoe UI"/>
        </w:rPr>
        <w:t xml:space="preserve">Belege und Unterlagen für die monatliche Finanzbuchhaltung </w:t>
      </w:r>
      <w:r w:rsidR="009E73A7">
        <w:rPr>
          <w:rFonts w:ascii="Segoe UI" w:hAnsi="Segoe UI" w:cs="Segoe UI"/>
        </w:rPr>
        <w:t>ab sofort</w:t>
      </w:r>
      <w:r>
        <w:rPr>
          <w:rFonts w:ascii="Segoe UI" w:hAnsi="Segoe UI" w:cs="Segoe UI"/>
        </w:rPr>
        <w:t xml:space="preserve"> </w:t>
      </w:r>
      <w:r w:rsidRPr="007212C0">
        <w:rPr>
          <w:rFonts w:ascii="Segoe UI" w:hAnsi="Segoe UI" w:cs="Segoe UI"/>
          <w:u w:val="single"/>
        </w:rPr>
        <w:t>ausschließlich</w:t>
      </w:r>
      <w:r>
        <w:rPr>
          <w:rFonts w:ascii="Segoe UI" w:hAnsi="Segoe UI" w:cs="Segoe UI"/>
        </w:rPr>
        <w:t xml:space="preserve"> über die </w:t>
      </w:r>
      <w:r w:rsidR="009E73A7">
        <w:rPr>
          <w:rFonts w:ascii="Segoe UI" w:hAnsi="Segoe UI" w:cs="Segoe UI"/>
        </w:rPr>
        <w:t>DATEV Unternehmen online</w:t>
      </w:r>
      <w:r>
        <w:rPr>
          <w:rFonts w:ascii="Segoe UI" w:hAnsi="Segoe UI" w:cs="Segoe UI"/>
        </w:rPr>
        <w:t xml:space="preserve"> an den Steuerberater zu übermitteln. </w:t>
      </w:r>
    </w:p>
    <w:p w:rsidR="00C92291" w:rsidRDefault="00C92291" w:rsidP="0029338A">
      <w:pPr>
        <w:pStyle w:val="Listenabsatz"/>
        <w:spacing w:after="120"/>
        <w:ind w:left="357"/>
        <w:contextualSpacing w:val="0"/>
        <w:jc w:val="both"/>
        <w:rPr>
          <w:rFonts w:ascii="Segoe UI" w:hAnsi="Segoe UI" w:cs="Segoe UI"/>
        </w:rPr>
      </w:pPr>
      <w:r>
        <w:rPr>
          <w:rFonts w:ascii="Segoe UI" w:hAnsi="Segoe UI" w:cs="Segoe UI"/>
        </w:rPr>
        <w:t xml:space="preserve">Die Kosten für die Nutzung </w:t>
      </w:r>
      <w:r w:rsidR="009E73A7">
        <w:rPr>
          <w:rFonts w:ascii="Segoe UI" w:hAnsi="Segoe UI" w:cs="Segoe UI"/>
        </w:rPr>
        <w:t>von DATEV Unternehmen online</w:t>
      </w:r>
      <w:r>
        <w:rPr>
          <w:rFonts w:ascii="Segoe UI" w:hAnsi="Segoe UI" w:cs="Segoe UI"/>
        </w:rPr>
        <w:t xml:space="preserve"> (derzeit monatlich </w:t>
      </w:r>
      <w:r w:rsidR="009E73A7">
        <w:rPr>
          <w:rFonts w:ascii="Segoe UI" w:hAnsi="Segoe UI" w:cs="Segoe UI"/>
        </w:rPr>
        <w:t>10</w:t>
      </w:r>
      <w:r>
        <w:rPr>
          <w:rFonts w:ascii="Segoe UI" w:hAnsi="Segoe UI" w:cs="Segoe UI"/>
        </w:rPr>
        <w:t>,</w:t>
      </w:r>
      <w:r w:rsidR="009E73A7">
        <w:rPr>
          <w:rFonts w:ascii="Segoe UI" w:hAnsi="Segoe UI" w:cs="Segoe UI"/>
        </w:rPr>
        <w:t>50</w:t>
      </w:r>
      <w:r>
        <w:rPr>
          <w:rFonts w:ascii="Segoe UI" w:hAnsi="Segoe UI" w:cs="Segoe UI"/>
        </w:rPr>
        <w:t xml:space="preserve"> € zuzüglich Umsatzsteuer) trägt der Mandant. </w:t>
      </w:r>
    </w:p>
    <w:p w:rsidR="0029338A" w:rsidRPr="007212C0" w:rsidRDefault="00C92291" w:rsidP="00C92291">
      <w:pPr>
        <w:pStyle w:val="Listenabsatz"/>
        <w:numPr>
          <w:ilvl w:val="0"/>
          <w:numId w:val="4"/>
        </w:numPr>
        <w:spacing w:after="120"/>
        <w:contextualSpacing w:val="0"/>
        <w:rPr>
          <w:rFonts w:ascii="Segoe UI" w:hAnsi="Segoe UI" w:cs="Segoe UI"/>
          <w:b/>
        </w:rPr>
      </w:pPr>
      <w:r w:rsidRPr="007212C0">
        <w:rPr>
          <w:rFonts w:ascii="Segoe UI" w:hAnsi="Segoe UI" w:cs="Segoe UI"/>
          <w:b/>
        </w:rPr>
        <w:t>Termin für die Bereitstellung der Belege</w:t>
      </w:r>
    </w:p>
    <w:p w:rsidR="00C92291" w:rsidRDefault="009E73A7" w:rsidP="00C92291">
      <w:pPr>
        <w:pStyle w:val="Listenabsatz"/>
        <w:spacing w:after="120"/>
        <w:ind w:left="360"/>
        <w:contextualSpacing w:val="0"/>
        <w:jc w:val="both"/>
        <w:rPr>
          <w:rFonts w:ascii="Segoe UI" w:hAnsi="Segoe UI" w:cs="Segoe UI"/>
        </w:rPr>
      </w:pPr>
      <w:r>
        <w:rPr>
          <w:rFonts w:ascii="Segoe UI" w:hAnsi="Segoe UI" w:cs="Segoe UI"/>
        </w:rPr>
        <w:t xml:space="preserve">DATEV Unternehmen online </w:t>
      </w:r>
      <w:r w:rsidR="00C92291">
        <w:rPr>
          <w:rFonts w:ascii="Segoe UI" w:hAnsi="Segoe UI" w:cs="Segoe UI"/>
        </w:rPr>
        <w:t xml:space="preserve">ermöglicht es, Belege und Unterlagen für die Finanzbuchhaltung jederzeit an den Steuerberater zu übermitteln. Um eine fristgerechte Erstellung der monatlichen Finanzbuchhaltung unter Berücksichtigung der durch das Finanzamt erteilten Dauerfristverlängerung zu ermöglichen, sind sämtliche Belege und Unterlagen bis zum </w:t>
      </w:r>
      <w:r w:rsidR="00C92291">
        <w:rPr>
          <w:rFonts w:ascii="Segoe UI" w:hAnsi="Segoe UI" w:cs="Segoe UI"/>
          <w:b/>
        </w:rPr>
        <w:t>15. des Folgemonats</w:t>
      </w:r>
      <w:r w:rsidR="00C92291">
        <w:rPr>
          <w:rFonts w:ascii="Segoe UI" w:hAnsi="Segoe UI" w:cs="Segoe UI"/>
        </w:rPr>
        <w:t xml:space="preserve"> über </w:t>
      </w:r>
      <w:r>
        <w:rPr>
          <w:rFonts w:ascii="Segoe UI" w:hAnsi="Segoe UI" w:cs="Segoe UI"/>
        </w:rPr>
        <w:t xml:space="preserve">DATEV Unternehmen online </w:t>
      </w:r>
      <w:r w:rsidR="00C92291">
        <w:rPr>
          <w:rFonts w:ascii="Segoe UI" w:hAnsi="Segoe UI" w:cs="Segoe UI"/>
        </w:rPr>
        <w:t>an den Steuerberater zu übermitteln. [Zur Verdeutlichung: Die Belege des Monats Januar sind bis zum 15. Februar zu übermitteln.]</w:t>
      </w:r>
    </w:p>
    <w:p w:rsidR="00C92291" w:rsidRDefault="00C92291" w:rsidP="00C92291">
      <w:pPr>
        <w:pStyle w:val="Listenabsatz"/>
        <w:spacing w:after="120"/>
        <w:ind w:left="360"/>
        <w:contextualSpacing w:val="0"/>
        <w:jc w:val="both"/>
        <w:rPr>
          <w:rFonts w:ascii="Segoe UI" w:hAnsi="Segoe UI" w:cs="Segoe UI"/>
        </w:rPr>
      </w:pPr>
      <w:r>
        <w:rPr>
          <w:rFonts w:ascii="Segoe UI" w:hAnsi="Segoe UI" w:cs="Segoe UI"/>
        </w:rPr>
        <w:t xml:space="preserve">Der Steuerberater wird die Buchhaltung zeitnah nach dem Stichtag für die Übermittlung der Belege und Unterlagen erstellen. Nach dem Stichtag eingereichte Belege werden erst bei der Erstellung der Buchhaltung des Folgemonats berücksichtigt. </w:t>
      </w:r>
    </w:p>
    <w:p w:rsidR="00C92291" w:rsidRPr="00C92291" w:rsidRDefault="000535BC" w:rsidP="00C92291">
      <w:pPr>
        <w:pStyle w:val="Listenabsatz"/>
        <w:spacing w:after="120"/>
        <w:ind w:left="360"/>
        <w:contextualSpacing w:val="0"/>
        <w:jc w:val="both"/>
        <w:rPr>
          <w:rFonts w:ascii="Segoe UI" w:hAnsi="Segoe UI" w:cs="Segoe UI"/>
        </w:rPr>
      </w:pPr>
      <w:r>
        <w:rPr>
          <w:rFonts w:ascii="Segoe UI" w:hAnsi="Segoe UI" w:cs="Segoe UI"/>
        </w:rPr>
        <w:t xml:space="preserve">Werden nach dem Stichtag Belege für den abgelaufenen Monat übermittelt, die aufgrund von gesetzlichen Vorgaben in der Buchhaltung zu erfassen sind, </w:t>
      </w:r>
      <w:r w:rsidRPr="007212C0">
        <w:rPr>
          <w:rFonts w:ascii="Segoe UI" w:hAnsi="Segoe UI" w:cs="Segoe UI"/>
          <w:u w:val="single"/>
        </w:rPr>
        <w:t xml:space="preserve">so hat der Mandant den </w:t>
      </w:r>
      <w:r w:rsidRPr="007212C0">
        <w:rPr>
          <w:rFonts w:ascii="Segoe UI" w:hAnsi="Segoe UI" w:cs="Segoe UI"/>
          <w:u w:val="single"/>
        </w:rPr>
        <w:lastRenderedPageBreak/>
        <w:t>Steuerberater darauf hinzuweisen</w:t>
      </w:r>
      <w:r>
        <w:rPr>
          <w:rFonts w:ascii="Segoe UI" w:hAnsi="Segoe UI" w:cs="Segoe UI"/>
        </w:rPr>
        <w:t xml:space="preserve"> und ggf. anfallende Mehraufwendungen für die Nacherfassung zu tragen. </w:t>
      </w:r>
    </w:p>
    <w:p w:rsidR="00C92291" w:rsidRPr="007212C0" w:rsidRDefault="000535BC" w:rsidP="00C92291">
      <w:pPr>
        <w:pStyle w:val="Listenabsatz"/>
        <w:numPr>
          <w:ilvl w:val="0"/>
          <w:numId w:val="4"/>
        </w:numPr>
        <w:spacing w:after="120"/>
        <w:contextualSpacing w:val="0"/>
        <w:rPr>
          <w:rFonts w:ascii="Segoe UI" w:hAnsi="Segoe UI" w:cs="Segoe UI"/>
          <w:b/>
        </w:rPr>
      </w:pPr>
      <w:r w:rsidRPr="007212C0">
        <w:rPr>
          <w:rFonts w:ascii="Segoe UI" w:hAnsi="Segoe UI" w:cs="Segoe UI"/>
          <w:b/>
        </w:rPr>
        <w:t>Haftungsbeschränkung</w:t>
      </w:r>
    </w:p>
    <w:p w:rsidR="000535BC" w:rsidRDefault="000535BC" w:rsidP="000535BC">
      <w:pPr>
        <w:pStyle w:val="Listenabsatz"/>
        <w:spacing w:after="120"/>
        <w:ind w:left="360"/>
        <w:contextualSpacing w:val="0"/>
        <w:rPr>
          <w:rFonts w:ascii="Segoe UI" w:hAnsi="Segoe UI" w:cs="Segoe UI"/>
        </w:rPr>
      </w:pPr>
      <w:r>
        <w:rPr>
          <w:rFonts w:ascii="Segoe UI" w:hAnsi="Segoe UI" w:cs="Segoe UI"/>
        </w:rPr>
        <w:t>Bei fahrlässig verursachten Schäden aus dieser Vereinbarung haftet der Steuerberater nur bis zu einem Betrag in Höhe von 1.000.000 €.</w:t>
      </w:r>
    </w:p>
    <w:p w:rsidR="000535BC" w:rsidRPr="007212C0" w:rsidRDefault="000535BC" w:rsidP="00C92291">
      <w:pPr>
        <w:pStyle w:val="Listenabsatz"/>
        <w:numPr>
          <w:ilvl w:val="0"/>
          <w:numId w:val="4"/>
        </w:numPr>
        <w:spacing w:after="120"/>
        <w:contextualSpacing w:val="0"/>
        <w:rPr>
          <w:rFonts w:ascii="Segoe UI" w:hAnsi="Segoe UI" w:cs="Segoe UI"/>
          <w:b/>
        </w:rPr>
      </w:pPr>
      <w:r w:rsidRPr="007212C0">
        <w:rPr>
          <w:rFonts w:ascii="Segoe UI" w:hAnsi="Segoe UI" w:cs="Segoe UI"/>
          <w:b/>
        </w:rPr>
        <w:t>Ergänzende Bestimmung</w:t>
      </w:r>
    </w:p>
    <w:p w:rsidR="000535BC" w:rsidRDefault="000535BC" w:rsidP="000535BC">
      <w:pPr>
        <w:pStyle w:val="Listenabsatz"/>
        <w:spacing w:after="120"/>
        <w:ind w:left="360"/>
        <w:contextualSpacing w:val="0"/>
        <w:rPr>
          <w:rFonts w:ascii="Segoe UI" w:hAnsi="Segoe UI" w:cs="Segoe UI"/>
        </w:rPr>
      </w:pPr>
      <w:r>
        <w:rPr>
          <w:rFonts w:ascii="Segoe UI" w:hAnsi="Segoe UI" w:cs="Segoe UI"/>
        </w:rPr>
        <w:t>Im Übrigen gelten die vertraglichen und gesetzlichen Bestimmungen.</w:t>
      </w:r>
    </w:p>
    <w:p w:rsidR="000535BC" w:rsidRPr="007212C0" w:rsidRDefault="000535BC" w:rsidP="00C92291">
      <w:pPr>
        <w:pStyle w:val="Listenabsatz"/>
        <w:numPr>
          <w:ilvl w:val="0"/>
          <w:numId w:val="4"/>
        </w:numPr>
        <w:spacing w:after="120"/>
        <w:contextualSpacing w:val="0"/>
        <w:rPr>
          <w:rFonts w:ascii="Segoe UI" w:hAnsi="Segoe UI" w:cs="Segoe UI"/>
          <w:b/>
        </w:rPr>
      </w:pPr>
      <w:r w:rsidRPr="007212C0">
        <w:rPr>
          <w:rFonts w:ascii="Segoe UI" w:hAnsi="Segoe UI" w:cs="Segoe UI"/>
          <w:b/>
        </w:rPr>
        <w:t>Salvatorische Klausel</w:t>
      </w:r>
    </w:p>
    <w:p w:rsidR="000535BC" w:rsidRDefault="000535BC" w:rsidP="000535BC">
      <w:pPr>
        <w:pStyle w:val="Listenabsatz"/>
        <w:spacing w:after="120"/>
        <w:ind w:left="360"/>
        <w:contextualSpacing w:val="0"/>
        <w:rPr>
          <w:rFonts w:ascii="Segoe UI" w:hAnsi="Segoe UI" w:cs="Segoe UI"/>
        </w:rPr>
      </w:pPr>
      <w:r>
        <w:rPr>
          <w:rFonts w:ascii="Segoe UI" w:hAnsi="Segoe UI" w:cs="Segoe UI"/>
        </w:rPr>
        <w:t>Sollte eine Bestimmung dieser Vereinbarung unwirksam sein, so bleibt der übrige Inhalt der Vereinbarung wirksam.</w:t>
      </w:r>
    </w:p>
    <w:p w:rsidR="000535BC" w:rsidRDefault="000535BC" w:rsidP="000535BC">
      <w:pPr>
        <w:pStyle w:val="Listenabsatz"/>
        <w:spacing w:after="120"/>
        <w:ind w:left="360"/>
        <w:contextualSpacing w:val="0"/>
        <w:rPr>
          <w:rFonts w:ascii="Segoe UI" w:hAnsi="Segoe UI" w:cs="Segoe UI"/>
        </w:rPr>
      </w:pPr>
    </w:p>
    <w:p w:rsidR="007212C0" w:rsidRDefault="007212C0" w:rsidP="000535BC">
      <w:pPr>
        <w:pStyle w:val="Listenabsatz"/>
        <w:spacing w:after="120"/>
        <w:ind w:left="360"/>
        <w:contextualSpacing w:val="0"/>
        <w:rPr>
          <w:rFonts w:ascii="Segoe UI" w:hAnsi="Segoe UI" w:cs="Segoe UI"/>
        </w:rPr>
      </w:pPr>
    </w:p>
    <w:p w:rsidR="000535BC" w:rsidRDefault="000535BC" w:rsidP="000535BC">
      <w:pPr>
        <w:pStyle w:val="Listenabsatz"/>
        <w:spacing w:after="0"/>
        <w:ind w:left="357"/>
        <w:contextualSpacing w:val="0"/>
        <w:rPr>
          <w:rFonts w:ascii="Segoe UI" w:hAnsi="Segoe UI" w:cs="Segoe UI"/>
        </w:rPr>
      </w:pPr>
    </w:p>
    <w:p w:rsidR="000535BC" w:rsidRPr="0029338A" w:rsidRDefault="000535BC" w:rsidP="000535BC">
      <w:pPr>
        <w:pStyle w:val="Listenabsatz"/>
        <w:spacing w:after="0"/>
        <w:ind w:left="357"/>
        <w:contextualSpacing w:val="0"/>
        <w:rPr>
          <w:rFonts w:ascii="Segoe UI" w:hAnsi="Segoe UI" w:cs="Segoe UI"/>
        </w:rPr>
      </w:pPr>
      <w:r>
        <w:rPr>
          <w:rFonts w:ascii="Segoe UI" w:hAnsi="Segoe UI" w:cs="Segoe UI"/>
        </w:rPr>
        <w:t>__________________________</w:t>
      </w:r>
      <w:r>
        <w:rPr>
          <w:rFonts w:ascii="Segoe UI" w:hAnsi="Segoe UI" w:cs="Segoe UI"/>
        </w:rPr>
        <w:tab/>
      </w:r>
      <w:r>
        <w:rPr>
          <w:rFonts w:ascii="Segoe UI" w:hAnsi="Segoe UI" w:cs="Segoe UI"/>
        </w:rPr>
        <w:tab/>
      </w:r>
      <w:r>
        <w:rPr>
          <w:rFonts w:ascii="Segoe UI" w:hAnsi="Segoe UI" w:cs="Segoe UI"/>
        </w:rPr>
        <w:tab/>
        <w:t>__________________________</w:t>
      </w:r>
    </w:p>
    <w:p w:rsidR="000535BC" w:rsidRDefault="000535BC" w:rsidP="000535BC">
      <w:pPr>
        <w:pStyle w:val="Listenabsatz"/>
        <w:spacing w:after="0"/>
        <w:ind w:left="357"/>
        <w:contextualSpacing w:val="0"/>
        <w:rPr>
          <w:rFonts w:ascii="Segoe UI" w:hAnsi="Segoe UI" w:cs="Segoe UI"/>
        </w:rPr>
      </w:pPr>
      <w:r>
        <w:rPr>
          <w:rFonts w:ascii="Segoe UI" w:hAnsi="Segoe UI" w:cs="Segoe UI"/>
        </w:rPr>
        <w:t>Ort, Datum</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Mandant</w:t>
      </w:r>
    </w:p>
    <w:p w:rsidR="000535BC" w:rsidRDefault="000535BC" w:rsidP="000535BC">
      <w:pPr>
        <w:pStyle w:val="Listenabsatz"/>
        <w:spacing w:after="0"/>
        <w:ind w:left="357"/>
        <w:contextualSpacing w:val="0"/>
        <w:rPr>
          <w:rFonts w:ascii="Segoe UI" w:hAnsi="Segoe UI" w:cs="Segoe UI"/>
        </w:rPr>
      </w:pPr>
    </w:p>
    <w:p w:rsidR="000535BC" w:rsidRDefault="000535BC" w:rsidP="000535BC">
      <w:pPr>
        <w:pStyle w:val="Listenabsatz"/>
        <w:spacing w:after="0"/>
        <w:ind w:left="357"/>
        <w:contextualSpacing w:val="0"/>
        <w:rPr>
          <w:rFonts w:ascii="Segoe UI" w:hAnsi="Segoe UI" w:cs="Segoe UI"/>
        </w:rPr>
      </w:pPr>
    </w:p>
    <w:p w:rsidR="000535BC" w:rsidRDefault="000535BC" w:rsidP="000535BC">
      <w:pPr>
        <w:pStyle w:val="Listenabsatz"/>
        <w:spacing w:after="0"/>
        <w:ind w:left="357"/>
        <w:contextualSpacing w:val="0"/>
        <w:rPr>
          <w:rFonts w:ascii="Segoe UI" w:hAnsi="Segoe UI" w:cs="Segoe UI"/>
        </w:rPr>
      </w:pPr>
    </w:p>
    <w:p w:rsidR="000535BC" w:rsidRDefault="000535BC" w:rsidP="000535BC">
      <w:pPr>
        <w:pStyle w:val="Listenabsatz"/>
        <w:spacing w:after="0"/>
        <w:ind w:left="357"/>
        <w:contextualSpacing w:val="0"/>
        <w:rPr>
          <w:rFonts w:ascii="Segoe UI" w:hAnsi="Segoe UI" w:cs="Segoe UI"/>
        </w:rPr>
      </w:pPr>
    </w:p>
    <w:p w:rsidR="00573C13" w:rsidRDefault="00573C13" w:rsidP="00573C13">
      <w:pPr>
        <w:pStyle w:val="Listenabsatz"/>
        <w:spacing w:after="0"/>
        <w:ind w:left="357"/>
        <w:contextualSpacing w:val="0"/>
        <w:rPr>
          <w:rFonts w:ascii="Segoe UI" w:hAnsi="Segoe UI" w:cs="Segoe UI"/>
        </w:rPr>
      </w:pPr>
    </w:p>
    <w:p w:rsidR="00573C13" w:rsidRPr="0029338A" w:rsidRDefault="00573C13" w:rsidP="00573C13">
      <w:pPr>
        <w:pStyle w:val="Listenabsatz"/>
        <w:spacing w:after="0"/>
        <w:ind w:left="357"/>
        <w:contextualSpacing w:val="0"/>
        <w:rPr>
          <w:rFonts w:ascii="Segoe UI" w:hAnsi="Segoe UI" w:cs="Segoe UI"/>
        </w:rPr>
      </w:pPr>
      <w:r>
        <w:rPr>
          <w:rFonts w:ascii="Segoe UI" w:hAnsi="Segoe UI" w:cs="Segoe UI"/>
        </w:rPr>
        <w:t>__________________________</w:t>
      </w:r>
      <w:r>
        <w:rPr>
          <w:rFonts w:ascii="Segoe UI" w:hAnsi="Segoe UI" w:cs="Segoe UI"/>
        </w:rPr>
        <w:tab/>
      </w:r>
      <w:r>
        <w:rPr>
          <w:rFonts w:ascii="Segoe UI" w:hAnsi="Segoe UI" w:cs="Segoe UI"/>
        </w:rPr>
        <w:tab/>
      </w:r>
      <w:r>
        <w:rPr>
          <w:rFonts w:ascii="Segoe UI" w:hAnsi="Segoe UI" w:cs="Segoe UI"/>
        </w:rPr>
        <w:tab/>
        <w:t>__________________________</w:t>
      </w:r>
    </w:p>
    <w:p w:rsidR="0029338A" w:rsidRPr="0029338A" w:rsidRDefault="00573C13" w:rsidP="00573C13">
      <w:pPr>
        <w:pStyle w:val="Listenabsatz"/>
        <w:spacing w:after="0"/>
        <w:ind w:left="357"/>
        <w:contextualSpacing w:val="0"/>
        <w:rPr>
          <w:rFonts w:ascii="Segoe UI" w:hAnsi="Segoe UI" w:cs="Segoe UI"/>
        </w:rPr>
      </w:pPr>
      <w:r>
        <w:rPr>
          <w:rFonts w:ascii="Segoe UI" w:hAnsi="Segoe UI" w:cs="Segoe UI"/>
        </w:rPr>
        <w:t>Ort, Datum</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Steuerberater</w:t>
      </w:r>
    </w:p>
    <w:sectPr w:rsidR="0029338A" w:rsidRPr="002933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B15"/>
    <w:multiLevelType w:val="hybridMultilevel"/>
    <w:tmpl w:val="8A741F6E"/>
    <w:lvl w:ilvl="0" w:tplc="8FC2A842">
      <w:numFmt w:val="bullet"/>
      <w:lvlText w:val="-"/>
      <w:lvlJc w:val="left"/>
      <w:pPr>
        <w:ind w:left="1080" w:hanging="360"/>
      </w:pPr>
      <w:rPr>
        <w:rFonts w:ascii="Segoe UI" w:eastAsiaTheme="minorHAnsi" w:hAnsi="Segoe UI" w:cs="Segoe U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69B6037"/>
    <w:multiLevelType w:val="hybridMultilevel"/>
    <w:tmpl w:val="BB8EDE42"/>
    <w:lvl w:ilvl="0" w:tplc="51BE59A0">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AC6FE0"/>
    <w:multiLevelType w:val="hybridMultilevel"/>
    <w:tmpl w:val="339434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8F64E85"/>
    <w:multiLevelType w:val="hybridMultilevel"/>
    <w:tmpl w:val="B11E4F92"/>
    <w:lvl w:ilvl="0" w:tplc="193EA37E">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8A"/>
    <w:rsid w:val="0000245F"/>
    <w:rsid w:val="000535BC"/>
    <w:rsid w:val="0029338A"/>
    <w:rsid w:val="00535E8C"/>
    <w:rsid w:val="00573C13"/>
    <w:rsid w:val="007212C0"/>
    <w:rsid w:val="00735568"/>
    <w:rsid w:val="008D340F"/>
    <w:rsid w:val="009E73A7"/>
    <w:rsid w:val="00A845F2"/>
    <w:rsid w:val="00AF38C6"/>
    <w:rsid w:val="00C92291"/>
    <w:rsid w:val="00E56AA3"/>
    <w:rsid w:val="00ED3D0A"/>
    <w:rsid w:val="00EE6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A329"/>
  <w15:docId w15:val="{FE233B53-F12B-4D2C-B7B0-ADBA0BE4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338A"/>
    <w:pPr>
      <w:ind w:left="720"/>
      <w:contextualSpacing/>
    </w:pPr>
  </w:style>
  <w:style w:type="character" w:styleId="Hyperlink">
    <w:name w:val="Hyperlink"/>
    <w:basedOn w:val="Absatz-Standardschriftart"/>
    <w:uiPriority w:val="99"/>
    <w:unhideWhenUsed/>
    <w:rsid w:val="00293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2334</Characters>
  <Application>Microsoft Office Word</Application>
  <DocSecurity>0</DocSecurity>
  <Lines>778</Lines>
  <Paragraphs>223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Blum</dc:creator>
  <cp:lastModifiedBy>Müller, Eugen</cp:lastModifiedBy>
  <cp:revision>11</cp:revision>
  <cp:lastPrinted>2018-04-12T19:00:00Z</cp:lastPrinted>
  <dcterms:created xsi:type="dcterms:W3CDTF">2017-11-20T17:50:00Z</dcterms:created>
  <dcterms:modified xsi:type="dcterms:W3CDTF">2019-02-18T12:51:00Z</dcterms:modified>
</cp:coreProperties>
</file>